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pPr>
      <w:r>
        <w:t>Договор оферта об использовании сервиса ИПРА контроль</w:t>
      </w:r>
    </w:p>
    <w:p>
      <w:pPr>
        <w:keepLines w:val="0"/>
        <w:widowControl/>
      </w:pPr>
      <w:r>
        <w:t>Редакция от 5 октября 2026 года</w:t>
      </w:r>
    </w:p>
    <w:p>
      <w:pPr>
        <w:pStyle w:val="Heading1"/>
        <w:keepNext/>
      </w:pPr>
      <w:r>
        <w:t>1. Общие положения</w:t>
      </w:r>
    </w:p>
    <w:p>
      <w:pPr>
        <w:keepLines w:val="0"/>
        <w:widowControl/>
      </w:pPr>
      <w:r>
        <w:t>1.1. Юрьев Андрей Аркадьевич, физическое лицо, применяющее специальный налоговый режим «Налог на профессиональный доход» (самозанятый), ИНН 770104000908, далее — Исполнитель, предлагает совершеннолетним физическим лицам использовать сервис «ИПРА-контроль» и приобретать платный доступ Pro на условиях настоящего договора оферты. Пользователь сервиса далее именуется Заказчиком.</w:t>
      </w:r>
    </w:p>
    <w:p>
      <w:pPr>
        <w:keepLines w:val="0"/>
        <w:widowControl/>
      </w:pPr>
      <w:r>
        <w:t>1.2. Сайт Исполнителя: https://ipra-control.ru. Сервис предоставляется через доступные пользователю приложения MAX, Telegram и личный кабинет сайта. До регистрации и оплаты в интерфейсе указаны работающие способы доступа. Настоящий документ объединяет правила использования сервиса и условия приобретения Pro. Он регулирует отношения Исполнителя со сторонними пользователями сервиса.</w:t>
      </w:r>
    </w:p>
    <w:p>
      <w:pPr>
        <w:keepLines w:val="0"/>
        <w:widowControl/>
      </w:pPr>
      <w:r>
        <w:t>1.3. Принятие общих правил использования выполняется явным действием в интерфейсе с возможностью предварительного ознакомления с текстом. Договор о платном доступе заключается при оплате конкретного заказа после ознакомления с офертой. Одна только регистрация, бесплатное использование или создание неоплаченного заказа не создают обязанности оплатить Pro.</w:t>
      </w:r>
    </w:p>
    <w:p>
      <w:pPr>
        <w:keepLines w:val="0"/>
        <w:widowControl/>
      </w:pPr>
      <w:r>
        <w:t>1.4. Данные принятой редакции и заказа сохраняются для подтверждения условий покупки. Принятие оферты не заменяет отдельные согласия на обработку персональных данных, когда они необходимы по закону. Политика обработки персональных данных является отдельным общедоступным документом на сайте.</w:t>
      </w:r>
    </w:p>
    <w:p>
      <w:pPr>
        <w:pStyle w:val="Heading1"/>
        <w:keepNext/>
      </w:pPr>
      <w:r>
        <w:t>2. Предмет договора и условия доступа</w:t>
      </w:r>
    </w:p>
    <w:p>
      <w:pPr>
        <w:keepLines w:val="0"/>
        <w:widowControl/>
      </w:pPr>
      <w:r>
        <w:t>2.1. Сервис помогает пользователю самостоятельно учитывать собственное обеспечение техническими средствами реабилитации (ТСР) по электронным сертификатам: заявления, получение сертификатов, покупки с их использованием, статусы и необходимые сроки. Пользователь ведёт карточки и историю значимых событий, проверяет рассчитанные даты следующего действия. Прямая выдача ТСР и произвольные покупки за собственные средства в сервисе не учитываются. Предмет платного договора — доступ к функциям Pro, а не получение ТСР, компенсации или государственных выплат.</w:t>
      </w:r>
    </w:p>
    <w:p>
      <w:pPr>
        <w:keepLines w:val="0"/>
        <w:widowControl/>
      </w:pPr>
      <w:r>
        <w:t>2.2. Сервис не является государственной информационной системой, не связан с государственными органами, не оказывает медицинских консультаций и не заменяет официальные документы, медицинскую или юридическую помощь. Важные сведения и сроки пользователь сверяет с официальными документами.</w:t>
      </w:r>
    </w:p>
    <w:p>
      <w:pPr>
        <w:keepLines w:val="0"/>
        <w:widowControl/>
      </w:pPr>
      <w:r>
        <w:t>2.3. Free предоставляется бесплатно. Для просмотра, редактирования и удаления доступны не более пяти активных карточек. Создание новой карточки сверх бесплатного лимита требует Pro. Пользователь предварительно получает пояснение об ограничении и может перейти к выбору тарифа либо отменить действие. Ознакомительные напоминания можно включить на 30 суток, один раз на внутреннюю учётную запись. Смена канала или повторное включение не возобновляют этот срок; после его окончания для напоминаний требуется Pro.</w:t>
      </w:r>
    </w:p>
    <w:p>
      <w:pPr>
        <w:keepLines w:val="0"/>
        <w:widowControl/>
      </w:pPr>
      <w:r>
        <w:t>2.4. Pro предоставляет доступ ко всем собственным карточкам без ограничения их количества, платным напоминаниям в доступном связанном боте, уведомлениям на подтверждённую электронную почту при их включении и экспорту в Excel. Состав реально доступных каналов и функций указывается в приложении до оплаты; будущие, ещё не запущенные возможности не входят в оплаченную услугу.</w:t>
      </w:r>
    </w:p>
    <w:p>
      <w:pPr>
        <w:keepLines w:val="0"/>
        <w:widowControl/>
      </w:pPr>
      <w:r>
        <w:t>2.5. После окончания или прекращения Pro для просмотра, редактирования и удаления остаются доступными пять карточек с ближайшими датами следующего действия. Карточки без даты располагаются в конце очереди. Остальные карточки сохраняются скрытыми на срок пункта 2.5.1; возобновление Pro до удаления восстанавливает доступ. После удаления доступной карточки открывается следующая в очереди. Окончание Pro само по себе не удаляет карточки.</w:t>
      </w:r>
    </w:p>
    <w:p>
      <w:pPr>
        <w:keepLines w:val="0"/>
        <w:widowControl/>
      </w:pPr>
      <w:r>
        <w:t>2.5.1. Скрытые карточки и связанные с ними записи хранятся шесть календарных месяцев с даты окончания или прекращения Pro. Срок рассчитывается по московскому времени до соответствующей даты через шесть месяцев, а при отсутствии такого числа — до последнего дня целевого месяца. Вход, просмотр или редактирование доступных карточек этот срок не продлевают. Возобновление Pro до удаления прекращает текущий отсчёт; после следующего окончания Pro начинается новый шестимесячный срок.</w:t>
      </w:r>
    </w:p>
    <w:p>
      <w:pPr>
        <w:keepLines w:val="0"/>
        <w:widowControl/>
      </w:pPr>
      <w:r>
        <w:t>2.5.2. Пользователь получает служебное уведомление с датой удаления и предупреждения не менее чем за 30 и за 7 календарных дней до него. Они доступны в защищённом интерфейсе независимо от Pro; при доступном подключённом канале также направляются нейтральным сообщением, а на почту — только если этот канал был включён и адрес подтверждён. При запоздалом формировании предупреждений удаление переносится, чтобы сохранить эти интервалы. Это не возобновляет платные напоминания.</w:t>
      </w:r>
    </w:p>
    <w:p>
      <w:pPr>
        <w:keepLines w:val="0"/>
        <w:widowControl/>
      </w:pPr>
      <w:r>
        <w:t>2.5.3. По истечении срока без возобновления Pro безвозвратно удаляются только карточки, остающиеся скрытыми, и связанные записи, не сохраняемые на отдельном законном основании. Перед удалением доступная пятёрка определяется заново и не удаляется по этому правилу. Автоматическое удаление не требует новых подтверждений пользователя. Продление Pro после удаления не восстанавливает удалённые карточки.</w:t>
      </w:r>
    </w:p>
    <w:p>
      <w:pPr>
        <w:keepLines w:val="0"/>
        <w:widowControl/>
      </w:pPr>
      <w:r>
        <w:t>2.5.4. Для ранее созданных аккаунтов с уже истёкшим Pro шестимесячный срок не считается задним числом: он начинается не ранее индивидуального уведомления о введении правила. Изменение ранее принятых условий производится с соблюдением пунктов 8.2 и 8.3; одно опубликование новой редакции не заменяет необходимое принятие.</w:t>
      </w:r>
    </w:p>
    <w:p>
      <w:pPr>
        <w:keepLines w:val="0"/>
        <w:widowControl/>
      </w:pPr>
      <w:r>
        <w:t>2.6. Pro относится к внутренней учётной записи, указанной в заказе. Для связанных с этой записью платформ отдельная покупка не требуется. Связывание MAX, Telegram и подтверждённой электронной почты допускается только после проверки контроля соответствующих аккаунтов и адреса. Разные заполненные аккаунты не объединяются автоматически. Личный кабинет сайта использует ту же связанную учётную запись; вход выполняется по одноразовому коду на подтверждённую почту и не требует открытия Telegram. Возможная недоступность Telegram не изменяет принадлежность оплаченного доступа этой учётной записи.</w:t>
      </w:r>
    </w:p>
    <w:p>
      <w:pPr>
        <w:pStyle w:val="Heading1"/>
        <w:keepNext/>
      </w:pPr>
      <w:r>
        <w:t>3. Права и обязанности сторон</w:t>
      </w:r>
    </w:p>
    <w:p>
      <w:pPr>
        <w:keepLines w:val="0"/>
        <w:widowControl/>
      </w:pPr>
      <w:r>
        <w:t>3.1. Исполнитель предоставляет согласованные функции в течение оплаченного периода, обеспечивает защиту данных и принимает обращения о работе сервиса. Привлечение технических подрядчиков не освобождает Исполнителя от ответственности перед Заказчиком в случаях, предусмотренных законом.</w:t>
      </w:r>
    </w:p>
    <w:p>
      <w:pPr>
        <w:keepLines w:val="0"/>
        <w:widowControl/>
      </w:pPr>
      <w:r>
        <w:t>3.2. Пользователь предоставляет достоверные необходимые сведения, бережно хранит коды и ссылки входа и не передаёт их посторонним. При подозрении на чужую привязку или доступ к аккаунту пользователь обращается в поддержку.</w:t>
      </w:r>
    </w:p>
    <w:p>
      <w:pPr>
        <w:keepLines w:val="0"/>
        <w:widowControl/>
      </w:pPr>
      <w:r>
        <w:t>3.3. Тарифы Free и Pro предназначены только для собственных данных совершеннолетнего пользователя. Профили других лиц, доверенный доступ и свободные комментарии не предоставляются. Запрещено вводить диагнозы, СНИЛС, паспортные данные, номер ИПРА, сканы медицинских документов и другие избыточные сведения. Номер электронного сертификата, в том числе его последние цифры, стоимость сертификата и стоимость покупки ТСР не входят в состав пользовательских данных сервиса.</w:t>
      </w:r>
    </w:p>
    <w:p>
      <w:pPr>
        <w:keepLines w:val="0"/>
        <w:widowControl/>
      </w:pPr>
      <w:r>
        <w:t>3.4. Запрещены незаконные материалы, чужие персональные данные, вредоносный код, спам, мошенничество, попытки доступа к чужим данным и обход ограничений. Исполнитель может ограничить незаконный контент по обоснованному обращению или законному требованию. Ограничение не должно произвольно лишать пользователя предусмотренных законом прав.</w:t>
      </w:r>
    </w:p>
    <w:p>
      <w:pPr>
        <w:keepLines w:val="0"/>
        <w:widowControl/>
      </w:pPr>
      <w:r>
        <w:t>3.5. Исключительные права на программный код, тексты и графику принадлежат Исполнителю либо используются на законном основании. Пользователю предоставляется личное, простое, непередаваемое право использования сервиса по назначению. Это не ограничивает право пользователя просматривать, изменять и выгружать свои данные доступными средствами сервиса.</w:t>
      </w:r>
    </w:p>
    <w:p>
      <w:pPr>
        <w:keepLines w:val="0"/>
        <w:widowControl/>
      </w:pPr>
      <w:r>
        <w:t>3.6. Пользователь вправе прекратить использование сервиса, отключить уведомления, отказаться от Pro и направить запрос на удаление аккаунта. Порядок удаления данных и законные исключения из удаления устанавливаются политикой обработки персональных данных и законом; финансовые документы не уничтожаются вопреки обязательным срокам хранения.</w:t>
      </w:r>
    </w:p>
    <w:p>
      <w:pPr>
        <w:keepLines w:val="0"/>
        <w:widowControl/>
      </w:pPr>
      <w:r>
        <w:t>3.7. Самостоятельное удаление карточки выполняется после двух последовательных подтверждений с предупреждением о безвозвратности. Карточка и связанная с ней история удаляются из рабочей базы без корзины и возможности восстановления пользователем. Автоматическое удаление скрытых карточек регулируется пунктами 2.5.1–2.5.4 и выполняется без новых подтверждений после предусмотренных предупреждений. Удаление аккаунта также требует двух подтверждений и распространяется на связанные интерфейсы сервиса, но не удаляет аккаунты MAX или Telegram. Данные в резервных копиях блокируются для обычного использования и уничтожаются по установленному политикой сроку; восстановление системы не должно возвращать удалённые карточки и аккаунты. Необходимые финансовые документы сохраняются отдельно только на законных основаниях и не содержат сведения карточек ТСР.</w:t>
      </w:r>
    </w:p>
    <w:p>
      <w:pPr>
        <w:pStyle w:val="Heading1"/>
        <w:keepNext/>
      </w:pPr>
      <w:r>
        <w:t>4. Цена, оплата и предоставление Pro</w:t>
      </w:r>
    </w:p>
    <w:p>
      <w:pPr>
        <w:keepLines w:val="0"/>
        <w:widowControl/>
      </w:pPr>
      <w:r>
        <w:t>4.1. Стоимость Pro составляет 399 рублей за один календарный месяц либо 3588 рублей одним платежом за 12 календарных месяцев. Обозначение «299 рублей в месяц» является пересчётом годовой цены и не означает помесячного списания этой суммы.</w:t>
      </w:r>
    </w:p>
    <w:p>
      <w:pPr>
        <w:keepLines w:val="0"/>
        <w:widowControl/>
      </w:pPr>
      <w:r>
        <w:t>4.2. Оплата производится в рублях через Robokassa банковской картой или через СБП из числа способов, доступных для конкретного заказа. До оплаты пользователь видит сумму, период, учётную запись получателя доступа и условия договора, а также подтверждает электронную почту для чека и расчётных сообщений. Цена фиксируется в заказе. Исполнитель обеспечивает предоставление электронного чека в соответствии с законодательством о налоге на профессиональный доход; платёжная квитанция не заменяет этот чек. При сбое автоматического формирования чек оформляется законным способом. Подтверждение почты для этих целей не означает согласие на рекламу.</w:t>
      </w:r>
    </w:p>
    <w:p>
      <w:pPr>
        <w:keepLines w:val="0"/>
        <w:widowControl/>
      </w:pPr>
      <w:r>
        <w:t>4.3. Успешная оплата проверяется на стороне сервиса по подтверждению платёжного провайдера. Возврат браузера со страницы оплаты, сообщение пользователя об оплате и создание заказа сами по себе не включают Pro. Активация выполняется автоматически после серверного подтверждения успешного платежа, не позднее 24 часов после успешной оплаты. При непредоставлении доступа в этот срок пользователь вправе обратиться в поддержку и предъявить предусмотренные законом требования.</w:t>
      </w:r>
    </w:p>
    <w:p>
      <w:pPr>
        <w:keepLines w:val="0"/>
        <w:widowControl/>
      </w:pPr>
      <w:r>
        <w:t>4.4. При новой покупке или покупке после окончания Pro оплаченный период начинается с фактической активации. Если активация задержалась до другой календарной даты, пользователю предоставляется полный оплаченный период от фактической даты активации; требования из-за нарушения срока сохраняются. При раннем продлении новый период начинается на следующий день после окончания действующего оплаченного периода и рассчитывается от этой новой даты. Период составляет один либо 12 календарных месяцев: день начала включён, последний день — день перед соответствующим числом целевого месяца, а если такого числа нет — последний день этого месяца включительно. Все даты определяются по московскому времени (UTC+3).</w:t>
      </w:r>
    </w:p>
    <w:p>
      <w:pPr>
        <w:keepLines w:val="0"/>
        <w:widowControl/>
      </w:pPr>
      <w:r>
        <w:t>4.5. Автоматическое продление и автоматические списания не предусмотрены. Для продолжения Pro пользователь самостоятельно оплачивает новый заказ. Неоплаченный либо отменённый неоплаченный заказ не продлевает подписку.</w:t>
      </w:r>
    </w:p>
    <w:p>
      <w:pPr>
        <w:keepLines w:val="0"/>
        <w:widowControl/>
      </w:pPr>
      <w:r>
        <w:t>4.6. Изменение цены действует для новых заказов и не увеличивает цену уже оплаченного периода. Ошибочный повторный платёж или непредоставление доступа рассматриваются отдельно от обычного отказа от исправно предоставленной услуги.</w:t>
      </w:r>
    </w:p>
    <w:p>
      <w:pPr>
        <w:pStyle w:val="Heading1"/>
        <w:keepNext/>
      </w:pPr>
      <w:r>
        <w:t>5. Отказ от Pro и возврат</w:t>
      </w:r>
    </w:p>
    <w:p>
      <w:pPr>
        <w:keepLines w:val="0"/>
        <w:widowControl/>
      </w:pPr>
      <w:r>
        <w:t>5.1. Заказчик вправе отказаться от платного доступа и предъявить предусмотренные законом требования. Для обращения достаточно написать на support@ipra-control.ru и указать аккаунт, заказ, если его номер известен, и суть требования. Отсутствие номера заказа не является самостоятельным основанием для отказа в рассмотрении. Для поиска аккаунта и защиты от действий посторонних Исполнитель вправе проверить связь заявителя с учётной записью без избыточных сведений и платёжных секретов.</w:t>
      </w:r>
    </w:p>
    <w:p>
      <w:pPr>
        <w:keepLines w:val="0"/>
        <w:widowControl/>
      </w:pPr>
      <w:r>
        <w:t>5.2. Однозначный отказ Заказчика от Pro прекращает соответствующий платный доступ с момента получения Исполнителем заявления. Для расчёта возврата используется календарная дата получения по московскому времени. Прекращение не зависит от даты рассмотрения обращения или перечисления денег. При необходимой проверке принадлежности заявления после установления заявителя расчёт и прекращение доступа относятся к первоначально полученному отказу, а не к дате завершения проверки. Вопрос о возможности возврата или запрос расчёта сами по себе не считаются отказом. Техническая задержка не уменьшает возврат за счёт доступа после отказа.</w:t>
      </w:r>
    </w:p>
    <w:p>
      <w:pPr>
        <w:keepLines w:val="0"/>
        <w:widowControl/>
      </w:pPr>
      <w:r>
        <w:t>5.3. Предварительная оценка возврата при добровольном отказе рассчитывается по календарным дням по московскому времени: фактически оплаченная сумма соответствующего заказа умножается на число неиспользованных дней и делится на общее число дней его оплаченного периода. Каждая календарная дата, на которую приходится хотя бы часть оплаченного периода, учитывается как один день. День получения обращения включается в неиспользованный период целиком; часы и минуты обращения не уменьшают сумму возврата. Результат округляется до копейки. Годовой тариф не пересчитывается по цене месячного; не начавшийся оплаченный период учитывается полностью.</w:t>
      </w:r>
    </w:p>
    <w:p>
      <w:pPr>
        <w:keepLines w:val="0"/>
        <w:widowControl/>
      </w:pPr>
      <w:r>
        <w:t>5.4. Указанная оценка не является безусловным пределом возврата и не подменяет требования закона. Окончательная сумма определяется по обстоятельствам обращения с учётом обязательных прав Заказчика, включая основания для полного возврата и требования о недостатках услуги. Штраф за сам факт отказа не взимается.</w:t>
      </w:r>
    </w:p>
    <w:p>
      <w:pPr>
        <w:keepLines w:val="0"/>
        <w:widowControl/>
      </w:pPr>
      <w:r>
        <w:t>5.5. Исполнитель сообщает результат рассмотрения, сумму и порядок возврата. При обычном отказе от Pro возврат выполняется не позднее 10 календарных дней со дня получения заявления. Для требований из-за непредоставления доступа, недостатков и других нарушений действуют предусмотренные законом сроки и права Заказчика; этот пункт их не ограничивает. Деньги возвращаются тем же способом, которым получена оплата, а при технической невозможности — согласованным безопасным способом. Для обращения нельзя требовать пароль банка, код подтверждения платежа или полный набор платёжных секретов.</w:t>
      </w:r>
    </w:p>
    <w:p>
      <w:pPr>
        <w:keepLines w:val="0"/>
        <w:widowControl/>
      </w:pPr>
      <w:r>
        <w:t>5.6. Полный отказ от Pro распространяется на действующий доступ и заранее оплаченные продления этого доступа в той же учётной записи. Не начавшиеся периоды возвращаются полностью; для начавшегося периода применяется пункт 5.3 с учётом пункта 5.4. Если Заказчик однозначно отказался только от конкретного заказа или будущего продления, обращение рассматривается в его пределах, а другие самостоятельные покупки автоматически не отменяются. Прекращение Pro само по себе не удаляет карточки: действуют ограничения Free и сроки хранения скрытых карточек из пунктов 2.5–2.5.4. Возврат по отказу не является частичной компенсацией с сохранением того же отменённого доступа.</w:t>
      </w:r>
    </w:p>
    <w:p>
      <w:pPr>
        <w:keepLines w:val="0"/>
        <w:widowControl/>
      </w:pPr>
      <w:r>
        <w:t>5.7. Ответы поддержки по обычным обращениям и возвратам доступны независимо от тарифа. После прекращения Pro обычные платные напоминания отключаются; предварительно оплаченный отменённый период не возобновляет их. Сообщение о прекращении доступа и результат рассмотрения обращения доступны в сервисе. Если уведомления на подтверждённую почту были включены до прекращения Pro, после завершения расчёта и возврата направляется заключительное служебное письмо. При отсутствии суммы к перечислению оно направляется после завершения обращения. Это последнее такое уведомление до возобновления Pro; оно не препятствует ответам по новой инициативе пользователя, чекам, сообщениям входа и безопасности, служебным предупреждениям об окончании срока хранения скрытых карточек или другим обязательным сообщениям по закону. Во внешних уведомлениях не раскрываются сведения о ТСР.</w:t>
      </w:r>
    </w:p>
    <w:p>
      <w:pPr>
        <w:pStyle w:val="Heading1"/>
        <w:keepNext/>
      </w:pPr>
      <w:r>
        <w:t>6. Персональные данные и уведомления</w:t>
      </w:r>
    </w:p>
    <w:p>
      <w:pPr>
        <w:keepLines w:val="0"/>
        <w:widowControl/>
      </w:pPr>
      <w:r>
        <w:t>6.1. Исполнитель обеспечивает конфиденциальность и безопасность персональных данных в соответствии с Федеральным законом № 152-ФЗ «О персональных данных» и применимыми требованиями к информации и её защите. Цели, состав данных, правовые основания, сроки хранения, права пользователя и сведения об обработчиках раскрываются в отдельной политике обработки персональных данных.</w:t>
      </w:r>
    </w:p>
    <w:p>
      <w:pPr>
        <w:keepLines w:val="0"/>
        <w:widowControl/>
      </w:pPr>
      <w:r>
        <w:t>6.2. Минимально необходимые сведения о собственных ТСР обрабатываются для осуществления права пользователя на обеспечение средствами реабилитации в соответствии с ИПРА на основании пункта 6 части 2 статьи 10 Федерального закона № 152-ФЗ. Состав ограничен видом и кодом ТСР, необходимыми нормами и сроками, датами заявления, получения и использования электронного сертификата, статусами, рассчитанными датами следующего действия и историей значимых событий. Номер сертификата и его части, стоимость покупки ТСР и сертификата, свободные комментарии, доверенный доступ, полный документ ИПРА, диагнозы, СНИЛС и сканы не собираются. Данные заказа Pro и возврата относятся к отдельному платёжному учёту и не являются стоимостью ТСР. Внешние напоминания содержат нейтральный текст; сведения карточек доступны после входа и проверки прав. Принятие договора не является письменным согласием на сведения о здоровье и не заменяет отдельное согласие, если оно необходимо по закону.</w:t>
      </w:r>
    </w:p>
    <w:p>
      <w:pPr>
        <w:keepLines w:val="0"/>
        <w:widowControl/>
      </w:pPr>
      <w:r>
        <w:t>6.3. Пользователь выбирает доступные каналы и настройки уведомлений. Доставка может задерживаться из-за сети, устройства, платформы или почтового сервиса. Напоминания являются вспомогательной функцией и не заменяют самостоятельную проверку значимых дат. Условия договора не освобождают Исполнителя от установленной законом ответственности за качество собственной услуги.</w:t>
      </w:r>
    </w:p>
    <w:p>
      <w:pPr>
        <w:keepLines w:val="0"/>
        <w:widowControl/>
      </w:pPr>
      <w:r>
        <w:t>6.4. Сообщения поддержки и служебная информация об аккаунте не превращаются в рекламную рассылку. Рекламные сообщения требуют предусмотренных законом оснований и согласий.</w:t>
      </w:r>
    </w:p>
    <w:p>
      <w:pPr>
        <w:pStyle w:val="Heading1"/>
        <w:keepNext/>
      </w:pPr>
      <w:r>
        <w:t>7. Ответственность и непреодолимая сила</w:t>
      </w:r>
    </w:p>
    <w:p>
      <w:pPr>
        <w:keepLines w:val="0"/>
        <w:widowControl/>
      </w:pPr>
      <w:r>
        <w:t>7.1. Стороны несут ответственность в соответствии с законодательством Российской Федерации. Условия оферты не ограничивают обязательные права потребителя и не исключают ответственность, которую нельзя исключить договором.</w:t>
      </w:r>
    </w:p>
    <w:p>
      <w:pPr>
        <w:keepLines w:val="0"/>
        <w:widowControl/>
      </w:pPr>
      <w:r>
        <w:t>7.2. Пользователь проверяет исходные данные и результаты расчётов; Исполнитель не отвечает за решения государственных органов и не гарантирует получение ТСР. Само наличие сторонней платформы или сетевого сбоя не означает автоматического освобождения Исполнителя от ответственности.</w:t>
      </w:r>
    </w:p>
    <w:p>
      <w:pPr>
        <w:keepLines w:val="0"/>
        <w:widowControl/>
      </w:pPr>
      <w:r>
        <w:t>7.3. Сторона освобождается от ответственности в случаях, когда докажет невозможность исполнения вследствие чрезвычайных и непредотвратимых обстоятельств в пределах, допускаемых законом. Она уведомляет другую сторону о препятствии и его последствиях без необоснованной задержки. Освобождение от ответственности не означает безусловного удержания оплаты за непредоставленную услугу.</w:t>
      </w:r>
    </w:p>
    <w:p>
      <w:pPr>
        <w:pStyle w:val="Heading1"/>
        <w:keepNext/>
      </w:pPr>
      <w:r>
        <w:t>8. Действие и изменение договора</w:t>
      </w:r>
    </w:p>
    <w:p>
      <w:pPr>
        <w:keepLines w:val="0"/>
        <w:widowControl/>
      </w:pPr>
      <w:r>
        <w:t>8.1. Оферта действует с момента публикации окончательной редакции на сайте до её изменения или отзыва. Отзыв не прекращает автоматически обязательства по ранее заключённым договорам.</w:t>
      </w:r>
    </w:p>
    <w:p>
      <w:pPr>
        <w:keepLines w:val="0"/>
        <w:widowControl/>
      </w:pPr>
      <w:r>
        <w:t>8.2. Изменённые цены и условия платного доступа применяются к новым заказам после опубликования новой редакции. Условия уже оплаченного периода не ухудшаются односторонне. Простое опубликование новой редакции не означает согласие Заказчика на любое изменение ранее заключённого договора.</w:t>
      </w:r>
    </w:p>
    <w:p>
      <w:pPr>
        <w:keepLines w:val="0"/>
        <w:widowControl/>
      </w:pPr>
      <w:r>
        <w:t>8.3. При существенном изменении общих правил пользователь уведомляется, а повторное принятие запрашивается в случаях, когда оно необходимо. Предыдущие редакции и подтверждения принятия сохраняются для установления условий конкретных отношений.</w:t>
      </w:r>
    </w:p>
    <w:p>
      <w:pPr>
        <w:pStyle w:val="Heading1"/>
        <w:keepNext/>
      </w:pPr>
      <w:r>
        <w:t>9. Поддержка и разрешение споров</w:t>
      </w:r>
    </w:p>
    <w:p>
      <w:pPr>
        <w:keepLines w:val="0"/>
        <w:widowControl/>
      </w:pPr>
      <w:r>
        <w:t>9.1. Поддержка, заявления об отказе от Pro, обращения о возврате и обработке персональных данных: support@ipra-control.ru. Переписка ведётся на русском языке; пользователь сообщает сведения, необходимые для поиска аккаунта и заказа, без избыточных медицинских данных.</w:t>
      </w:r>
    </w:p>
    <w:p>
      <w:pPr>
        <w:keepLines w:val="0"/>
        <w:widowControl/>
      </w:pPr>
      <w:r>
        <w:t>9.2. Стороны могут попытаться урегулировать спор через поддержку. Обращение в поддержку не отменяет право на обращение в суд, государственные органы и другие предусмотренные законом способы защиты. Досудебный порядок обязателен только в случаях, когда это установлено законом; подсудность определяется законом.</w:t>
      </w:r>
    </w:p>
    <w:p>
      <w:pPr>
        <w:keepLines w:val="0"/>
        <w:widowControl/>
      </w:pPr>
      <w:r>
        <w:t>9.3. Ссылки на сторонние ресурсы размещаются для информирования и не означают контроля их содержания. Это условие не освобождает Исполнителя от ответственности за собственные обязательства. Бездействие стороны не означает отказа от её прав.</w:t>
      </w:r>
    </w:p>
    <w:p>
      <w:pPr>
        <w:pStyle w:val="Heading1"/>
        <w:keepNext/>
      </w:pPr>
      <w:r>
        <w:t>10. Реквизиты Исполнителя</w:t>
      </w:r>
    </w:p>
    <w:p>
      <w:pPr>
        <w:keepLines w:val="0"/>
        <w:widowControl/>
      </w:pPr>
      <w:r>
        <w:t>Юрьев Андрей Аркадьевич.</w:t>
      </w:r>
    </w:p>
    <w:p>
      <w:pPr>
        <w:keepLines w:val="0"/>
        <w:widowControl/>
      </w:pPr>
      <w:r>
        <w:t>Статус: физическое лицо, применяющее налог на профессиональный доход (самозанятый).</w:t>
      </w:r>
    </w:p>
    <w:p>
      <w:pPr>
        <w:keepLines w:val="0"/>
        <w:widowControl/>
      </w:pPr>
      <w:r>
        <w:t>ИНН: 770104000908.</w:t>
      </w:r>
    </w:p>
    <w:p>
      <w:pPr>
        <w:keepLines w:val="0"/>
        <w:widowControl/>
      </w:pPr>
      <w:r>
        <w:t>Сайт: https://ipra-control.ru.</w:t>
      </w:r>
    </w:p>
    <w:p>
      <w:pPr>
        <w:keepLines w:val="0"/>
        <w:widowControl/>
      </w:pPr>
      <w:r>
        <w:t>Электронная почта: support@ipra-control.ru.</w:t>
      </w:r>
    </w:p>
    <w:sectPr w:rsidR="000437DE" w:rsidRPr="00CE0F75">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45587" w14:textId="77777777" w:rsidR="00D0690B" w:rsidRDefault="00D0690B" w:rsidP="00490E7A">
      <w:pPr>
        <w:spacing w:after="0" w:line="240" w:lineRule="auto"/>
      </w:pPr>
      <w:r>
        <w:separator/>
      </w:r>
    </w:p>
  </w:endnote>
  <w:endnote w:type="continuationSeparator" w:id="0">
    <w:p w14:paraId="2208FD73" w14:textId="77777777" w:rsidR="00D0690B" w:rsidRDefault="00D0690B" w:rsidP="00490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698448"/>
      <w:docPartObj>
        <w:docPartGallery w:val="Page Numbers (Bottom of Page)"/>
        <w:docPartUnique/>
      </w:docPartObj>
    </w:sdtPr>
    <w:sdtContent>
      <w:p w14:paraId="08E0CFCD" w14:textId="31F22945" w:rsidR="00490E7A" w:rsidRDefault="00490E7A">
        <w:pPr>
          <w:pStyle w:val="ad"/>
          <w:jc w:val="center"/>
        </w:pPr>
        <w:r>
          <w:fldChar w:fldCharType="begin"/>
        </w:r>
        <w:r>
          <w:instrText>PAGE   \* MERGEFORMAT</w:instrText>
        </w:r>
        <w:r>
          <w:fldChar w:fldCharType="separate"/>
        </w:r>
        <w:r>
          <w:t>2</w:t>
        </w:r>
        <w:r>
          <w:fldChar w:fldCharType="end"/>
        </w:r>
      </w:p>
    </w:sdtContent>
  </w:sdt>
  <w:p w14:paraId="3453F7D0" w14:textId="77777777" w:rsidR="00490E7A" w:rsidRDefault="00490E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272E0" w14:textId="77777777" w:rsidR="00D0690B" w:rsidRDefault="00D0690B" w:rsidP="00490E7A">
      <w:pPr>
        <w:spacing w:after="0" w:line="240" w:lineRule="auto"/>
      </w:pPr>
      <w:r>
        <w:separator/>
      </w:r>
    </w:p>
  </w:footnote>
  <w:footnote w:type="continuationSeparator" w:id="0">
    <w:p w14:paraId="17804A43" w14:textId="77777777" w:rsidR="00D0690B" w:rsidRDefault="00D0690B" w:rsidP="00490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3673D"/>
    <w:multiLevelType w:val="multilevel"/>
    <w:tmpl w:val="4EF0A6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4973"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1CD32B0"/>
    <w:multiLevelType w:val="hybridMultilevel"/>
    <w:tmpl w:val="55CE4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C8F4F67"/>
    <w:multiLevelType w:val="hybridMultilevel"/>
    <w:tmpl w:val="E2962E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956570329">
    <w:abstractNumId w:val="0"/>
  </w:num>
  <w:num w:numId="2" w16cid:durableId="497817407">
    <w:abstractNumId w:val="2"/>
  </w:num>
  <w:num w:numId="3" w16cid:durableId="2141654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5A"/>
    <w:rsid w:val="0004324B"/>
    <w:rsid w:val="000437DE"/>
    <w:rsid w:val="00067E73"/>
    <w:rsid w:val="000B3136"/>
    <w:rsid w:val="001352F9"/>
    <w:rsid w:val="00140630"/>
    <w:rsid w:val="001467EC"/>
    <w:rsid w:val="00175E15"/>
    <w:rsid w:val="001A2D69"/>
    <w:rsid w:val="00233A65"/>
    <w:rsid w:val="0024227F"/>
    <w:rsid w:val="00242D20"/>
    <w:rsid w:val="00245A76"/>
    <w:rsid w:val="002800FE"/>
    <w:rsid w:val="00283353"/>
    <w:rsid w:val="002B3625"/>
    <w:rsid w:val="002F10D8"/>
    <w:rsid w:val="00313E7A"/>
    <w:rsid w:val="0032159B"/>
    <w:rsid w:val="003D63B0"/>
    <w:rsid w:val="00434695"/>
    <w:rsid w:val="00444F7E"/>
    <w:rsid w:val="00490E7A"/>
    <w:rsid w:val="00492FD0"/>
    <w:rsid w:val="004B0EE3"/>
    <w:rsid w:val="004C04D4"/>
    <w:rsid w:val="004D08BB"/>
    <w:rsid w:val="004E3A41"/>
    <w:rsid w:val="004E3D60"/>
    <w:rsid w:val="005356B6"/>
    <w:rsid w:val="00541F01"/>
    <w:rsid w:val="00546132"/>
    <w:rsid w:val="00572D59"/>
    <w:rsid w:val="00577F47"/>
    <w:rsid w:val="005A1021"/>
    <w:rsid w:val="005B5549"/>
    <w:rsid w:val="005F0096"/>
    <w:rsid w:val="005F6063"/>
    <w:rsid w:val="00603C4C"/>
    <w:rsid w:val="00633473"/>
    <w:rsid w:val="006508D0"/>
    <w:rsid w:val="00654DF6"/>
    <w:rsid w:val="00687C20"/>
    <w:rsid w:val="006926D9"/>
    <w:rsid w:val="006D1CB7"/>
    <w:rsid w:val="0071556D"/>
    <w:rsid w:val="00736BE9"/>
    <w:rsid w:val="007377EA"/>
    <w:rsid w:val="00744A3B"/>
    <w:rsid w:val="00751FBB"/>
    <w:rsid w:val="00760F2B"/>
    <w:rsid w:val="00781750"/>
    <w:rsid w:val="007A03EC"/>
    <w:rsid w:val="007E53BC"/>
    <w:rsid w:val="007F0FC7"/>
    <w:rsid w:val="00820A6D"/>
    <w:rsid w:val="00850B9B"/>
    <w:rsid w:val="00856D91"/>
    <w:rsid w:val="008674D4"/>
    <w:rsid w:val="00890E7F"/>
    <w:rsid w:val="008C765A"/>
    <w:rsid w:val="00900594"/>
    <w:rsid w:val="00911DA7"/>
    <w:rsid w:val="00914741"/>
    <w:rsid w:val="00940498"/>
    <w:rsid w:val="00956A7C"/>
    <w:rsid w:val="00971682"/>
    <w:rsid w:val="009F6E0F"/>
    <w:rsid w:val="00A16141"/>
    <w:rsid w:val="00A35E6F"/>
    <w:rsid w:val="00A67580"/>
    <w:rsid w:val="00AA18E3"/>
    <w:rsid w:val="00AD1FF1"/>
    <w:rsid w:val="00B15ABC"/>
    <w:rsid w:val="00B66ED7"/>
    <w:rsid w:val="00B91AE5"/>
    <w:rsid w:val="00C22077"/>
    <w:rsid w:val="00C405A1"/>
    <w:rsid w:val="00C523B8"/>
    <w:rsid w:val="00C8544B"/>
    <w:rsid w:val="00CA3A83"/>
    <w:rsid w:val="00CA5BA1"/>
    <w:rsid w:val="00CD6A61"/>
    <w:rsid w:val="00CE0F75"/>
    <w:rsid w:val="00D0690B"/>
    <w:rsid w:val="00D136C6"/>
    <w:rsid w:val="00D30561"/>
    <w:rsid w:val="00D31518"/>
    <w:rsid w:val="00D510F6"/>
    <w:rsid w:val="00D65377"/>
    <w:rsid w:val="00D837A1"/>
    <w:rsid w:val="00D92470"/>
    <w:rsid w:val="00D95977"/>
    <w:rsid w:val="00E821EC"/>
    <w:rsid w:val="00E91232"/>
    <w:rsid w:val="00E951AB"/>
    <w:rsid w:val="00EA517B"/>
    <w:rsid w:val="00EB247B"/>
    <w:rsid w:val="00EC76AE"/>
    <w:rsid w:val="00EE16A1"/>
    <w:rsid w:val="00EE3180"/>
    <w:rsid w:val="00FC44AF"/>
    <w:rsid w:val="00FD6358"/>
    <w:rsid w:val="00FE0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174D"/>
  <w15:chartTrackingRefBased/>
  <w15:docId w15:val="{E45E5792-006D-4CC3-85B6-7C51406A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69" w:lineRule="auto"/>
    </w:pPr>
    <w:rPr>
      <w:rFonts w:ascii="Arial" w:hAnsi="Arial"/>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56D"/>
    <w:pPr>
      <w:ind w:left="720"/>
      <w:contextualSpacing/>
    </w:pPr>
  </w:style>
  <w:style w:type="character" w:styleId="a4">
    <w:name w:val="Hyperlink"/>
    <w:basedOn w:val="a0"/>
    <w:uiPriority w:val="99"/>
    <w:semiHidden/>
    <w:unhideWhenUsed/>
    <w:rsid w:val="00067E73"/>
    <w:rPr>
      <w:color w:val="0000FF"/>
      <w:u w:val="single"/>
    </w:rPr>
  </w:style>
  <w:style w:type="paragraph" w:styleId="a5">
    <w:name w:val="Revision"/>
    <w:hidden/>
    <w:uiPriority w:val="99"/>
    <w:semiHidden/>
    <w:rsid w:val="005F0096"/>
    <w:pPr>
      <w:spacing w:after="0" w:line="240" w:lineRule="auto"/>
    </w:pPr>
  </w:style>
  <w:style w:type="character" w:styleId="a6">
    <w:name w:val="annotation reference"/>
    <w:basedOn w:val="a0"/>
    <w:uiPriority w:val="99"/>
    <w:semiHidden/>
    <w:unhideWhenUsed/>
    <w:rsid w:val="005F0096"/>
    <w:rPr>
      <w:sz w:val="16"/>
      <w:szCs w:val="16"/>
    </w:rPr>
  </w:style>
  <w:style w:type="paragraph" w:styleId="a7">
    <w:name w:val="annotation text"/>
    <w:basedOn w:val="a"/>
    <w:link w:val="a8"/>
    <w:uiPriority w:val="99"/>
    <w:semiHidden/>
    <w:unhideWhenUsed/>
    <w:rsid w:val="005F0096"/>
    <w:pPr>
      <w:spacing w:line="240" w:lineRule="auto"/>
    </w:pPr>
    <w:rPr>
      <w:sz w:val="20"/>
      <w:szCs w:val="20"/>
    </w:rPr>
  </w:style>
  <w:style w:type="character" w:customStyle="1" w:styleId="a8">
    <w:name w:val="Текст примечания Знак"/>
    <w:basedOn w:val="a0"/>
    <w:link w:val="a7"/>
    <w:uiPriority w:val="99"/>
    <w:semiHidden/>
    <w:rsid w:val="005F0096"/>
    <w:rPr>
      <w:sz w:val="20"/>
      <w:szCs w:val="20"/>
    </w:rPr>
  </w:style>
  <w:style w:type="paragraph" w:styleId="a9">
    <w:name w:val="annotation subject"/>
    <w:basedOn w:val="a7"/>
    <w:next w:val="a7"/>
    <w:link w:val="aa"/>
    <w:uiPriority w:val="99"/>
    <w:semiHidden/>
    <w:unhideWhenUsed/>
    <w:rsid w:val="005F0096"/>
    <w:rPr>
      <w:b/>
      <w:bCs/>
    </w:rPr>
  </w:style>
  <w:style w:type="character" w:customStyle="1" w:styleId="aa">
    <w:name w:val="Тема примечания Знак"/>
    <w:basedOn w:val="a8"/>
    <w:link w:val="a9"/>
    <w:uiPriority w:val="99"/>
    <w:semiHidden/>
    <w:rsid w:val="005F0096"/>
    <w:rPr>
      <w:b/>
      <w:bCs/>
      <w:sz w:val="20"/>
      <w:szCs w:val="20"/>
    </w:rPr>
  </w:style>
  <w:style w:type="paragraph" w:styleId="ab">
    <w:name w:val="header"/>
    <w:basedOn w:val="a"/>
    <w:link w:val="ac"/>
    <w:uiPriority w:val="99"/>
    <w:unhideWhenUsed/>
    <w:rsid w:val="00490E7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90E7A"/>
  </w:style>
  <w:style w:type="paragraph" w:styleId="ad">
    <w:name w:val="footer"/>
    <w:basedOn w:val="a"/>
    <w:link w:val="ae"/>
    <w:uiPriority w:val="99"/>
    <w:unhideWhenUsed/>
    <w:rsid w:val="00490E7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90E7A"/>
  </w:style>
  <w:style w:type="paragraph" w:customStyle="1" w:styleId="Title">
    <w:name w:val="Title"/>
    <w:pPr>
      <w:keepNext/>
      <w:spacing w:before="200" w:after="120"/>
    </w:pPr>
    <w:rPr>
      <w:rFonts w:ascii="Arial" w:hAnsi="Arial"/>
      <w:color w:val="000000"/>
      <w:sz w:val="38"/>
    </w:rPr>
  </w:style>
  <w:style w:type="paragraph" w:customStyle="1" w:styleId="Heading1">
    <w:name w:val="heading 1"/>
    <w:pPr>
      <w:keepNext/>
      <w:spacing w:before="200" w:after="120"/>
    </w:pPr>
    <w:rPr>
      <w:rFonts w:ascii="Arial" w:hAnsi="Arial"/>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49187">
      <w:bodyDiv w:val="1"/>
      <w:marLeft w:val="0"/>
      <w:marRight w:val="0"/>
      <w:marTop w:val="0"/>
      <w:marBottom w:val="0"/>
      <w:divBdr>
        <w:top w:val="none" w:sz="0" w:space="0" w:color="auto"/>
        <w:left w:val="none" w:sz="0" w:space="0" w:color="auto"/>
        <w:bottom w:val="none" w:sz="0" w:space="0" w:color="auto"/>
        <w:right w:val="none" w:sz="0" w:space="0" w:color="auto"/>
      </w:divBdr>
    </w:div>
    <w:div w:id="205265837">
      <w:bodyDiv w:val="1"/>
      <w:marLeft w:val="0"/>
      <w:marRight w:val="0"/>
      <w:marTop w:val="0"/>
      <w:marBottom w:val="0"/>
      <w:divBdr>
        <w:top w:val="none" w:sz="0" w:space="0" w:color="auto"/>
        <w:left w:val="none" w:sz="0" w:space="0" w:color="auto"/>
        <w:bottom w:val="none" w:sz="0" w:space="0" w:color="auto"/>
        <w:right w:val="none" w:sz="0" w:space="0" w:color="auto"/>
      </w:divBdr>
    </w:div>
    <w:div w:id="213930830">
      <w:bodyDiv w:val="1"/>
      <w:marLeft w:val="0"/>
      <w:marRight w:val="0"/>
      <w:marTop w:val="0"/>
      <w:marBottom w:val="0"/>
      <w:divBdr>
        <w:top w:val="none" w:sz="0" w:space="0" w:color="auto"/>
        <w:left w:val="none" w:sz="0" w:space="0" w:color="auto"/>
        <w:bottom w:val="none" w:sz="0" w:space="0" w:color="auto"/>
        <w:right w:val="none" w:sz="0" w:space="0" w:color="auto"/>
      </w:divBdr>
    </w:div>
    <w:div w:id="530848291">
      <w:bodyDiv w:val="1"/>
      <w:marLeft w:val="0"/>
      <w:marRight w:val="0"/>
      <w:marTop w:val="0"/>
      <w:marBottom w:val="0"/>
      <w:divBdr>
        <w:top w:val="none" w:sz="0" w:space="0" w:color="auto"/>
        <w:left w:val="none" w:sz="0" w:space="0" w:color="auto"/>
        <w:bottom w:val="none" w:sz="0" w:space="0" w:color="auto"/>
        <w:right w:val="none" w:sz="0" w:space="0" w:color="auto"/>
      </w:divBdr>
    </w:div>
    <w:div w:id="543950514">
      <w:bodyDiv w:val="1"/>
      <w:marLeft w:val="0"/>
      <w:marRight w:val="0"/>
      <w:marTop w:val="0"/>
      <w:marBottom w:val="0"/>
      <w:divBdr>
        <w:top w:val="none" w:sz="0" w:space="0" w:color="auto"/>
        <w:left w:val="none" w:sz="0" w:space="0" w:color="auto"/>
        <w:bottom w:val="none" w:sz="0" w:space="0" w:color="auto"/>
        <w:right w:val="none" w:sz="0" w:space="0" w:color="auto"/>
      </w:divBdr>
    </w:div>
    <w:div w:id="738097295">
      <w:bodyDiv w:val="1"/>
      <w:marLeft w:val="0"/>
      <w:marRight w:val="0"/>
      <w:marTop w:val="0"/>
      <w:marBottom w:val="0"/>
      <w:divBdr>
        <w:top w:val="none" w:sz="0" w:space="0" w:color="auto"/>
        <w:left w:val="none" w:sz="0" w:space="0" w:color="auto"/>
        <w:bottom w:val="none" w:sz="0" w:space="0" w:color="auto"/>
        <w:right w:val="none" w:sz="0" w:space="0" w:color="auto"/>
      </w:divBdr>
    </w:div>
    <w:div w:id="953948880">
      <w:bodyDiv w:val="1"/>
      <w:marLeft w:val="0"/>
      <w:marRight w:val="0"/>
      <w:marTop w:val="0"/>
      <w:marBottom w:val="0"/>
      <w:divBdr>
        <w:top w:val="none" w:sz="0" w:space="0" w:color="auto"/>
        <w:left w:val="none" w:sz="0" w:space="0" w:color="auto"/>
        <w:bottom w:val="none" w:sz="0" w:space="0" w:color="auto"/>
        <w:right w:val="none" w:sz="0" w:space="0" w:color="auto"/>
      </w:divBdr>
    </w:div>
    <w:div w:id="1178815283">
      <w:bodyDiv w:val="1"/>
      <w:marLeft w:val="0"/>
      <w:marRight w:val="0"/>
      <w:marTop w:val="0"/>
      <w:marBottom w:val="0"/>
      <w:divBdr>
        <w:top w:val="none" w:sz="0" w:space="0" w:color="auto"/>
        <w:left w:val="none" w:sz="0" w:space="0" w:color="auto"/>
        <w:bottom w:val="none" w:sz="0" w:space="0" w:color="auto"/>
        <w:right w:val="none" w:sz="0" w:space="0" w:color="auto"/>
      </w:divBdr>
    </w:div>
    <w:div w:id="1265922080">
      <w:bodyDiv w:val="1"/>
      <w:marLeft w:val="0"/>
      <w:marRight w:val="0"/>
      <w:marTop w:val="0"/>
      <w:marBottom w:val="0"/>
      <w:divBdr>
        <w:top w:val="none" w:sz="0" w:space="0" w:color="auto"/>
        <w:left w:val="none" w:sz="0" w:space="0" w:color="auto"/>
        <w:bottom w:val="none" w:sz="0" w:space="0" w:color="auto"/>
        <w:right w:val="none" w:sz="0" w:space="0" w:color="auto"/>
      </w:divBdr>
    </w:div>
    <w:div w:id="1333218731">
      <w:bodyDiv w:val="1"/>
      <w:marLeft w:val="0"/>
      <w:marRight w:val="0"/>
      <w:marTop w:val="0"/>
      <w:marBottom w:val="0"/>
      <w:divBdr>
        <w:top w:val="none" w:sz="0" w:space="0" w:color="auto"/>
        <w:left w:val="none" w:sz="0" w:space="0" w:color="auto"/>
        <w:bottom w:val="none" w:sz="0" w:space="0" w:color="auto"/>
        <w:right w:val="none" w:sz="0" w:space="0" w:color="auto"/>
      </w:divBdr>
    </w:div>
    <w:div w:id="15970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1641</Words>
  <Characters>9354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оферта об использовании сервиса ИПРА контроль</dc:title>
  <dc:subject>Условия использования сервиса и приобретения Pro</dc:subject>
  <dc:creator>Юрьев Андрей Аркадьевич</dc:creator>
  <cp:keywords/>
  <dc:description/>
  <cp:lastModifiedBy>Юрьев Андрей Аркадьевич</cp:lastModifiedBy>
  <cp:revision>6</cp:revision>
  <dcterms:created xsi:type="dcterms:W3CDTF">2023-08-21T16:26:00Z</dcterms:created>
  <dcterms:modified xsi:type="dcterms:W3CDTF">2026-10-02T00:00:00Z</dcterms:modified>
</cp:coreProperties>
</file>